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BCF96C4"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2F7C4A">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8D7C3F">
        <w:rPr>
          <w:bCs/>
          <w:noProof w:val="0"/>
          <w:sz w:val="24"/>
          <w:szCs w:val="24"/>
        </w:rPr>
        <w:t>04911</w:t>
      </w:r>
    </w:p>
    <w:p w14:paraId="231362B2" w14:textId="02E35642"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89158D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7C3F">
        <w:rPr>
          <w:rFonts w:cs="Arial"/>
          <w:b/>
          <w:bCs/>
          <w:sz w:val="24"/>
          <w:lang w:eastAsia="ja-JP"/>
        </w:rPr>
        <w:t>10.3.1.7</w:t>
      </w:r>
      <w:bookmarkStart w:id="0" w:name="_GoBack"/>
      <w:bookmarkEnd w:id="0"/>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009BC2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57FC1">
        <w:rPr>
          <w:rFonts w:ascii="Arial" w:hAnsi="Arial" w:cs="Arial"/>
          <w:b/>
          <w:bCs/>
          <w:sz w:val="24"/>
        </w:rPr>
        <w:t>MDBV in Uplink</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54A00C7" w14:textId="3B658E59" w:rsidR="00457FC1" w:rsidRPr="006E13D1" w:rsidRDefault="00457FC1" w:rsidP="00457FC1">
      <w:r>
        <w:t>One the characteristics of the 5QI of a</w:t>
      </w:r>
      <w:r w:rsidR="00E81288">
        <w:t xml:space="preserve"> Delay Critical GBR flow </w:t>
      </w:r>
      <w:r>
        <w:t>is the Maximum Data Burst Volume (</w:t>
      </w:r>
      <w:r w:rsidR="006641CC">
        <w:t>MDBV</w:t>
      </w:r>
      <w:r>
        <w:t xml:space="preserve">), which </w:t>
      </w:r>
      <w:r w:rsidRPr="00457FC1">
        <w:rPr>
          <w:i/>
        </w:rPr>
        <w:t>denotes the largest amount of data that the 5G-AN is required to serve within a period of 5G-AN PDB (i.e. 5G-AN part of the PDB)</w:t>
      </w:r>
      <w:r>
        <w:rPr>
          <w:i/>
        </w:rPr>
        <w:t xml:space="preserve"> </w:t>
      </w:r>
      <w:r>
        <w:t>[</w:t>
      </w:r>
      <w:hyperlink r:id="rId7" w:history="1">
        <w:r w:rsidRPr="00457FC1">
          <w:rPr>
            <w:rStyle w:val="Hyperlink"/>
          </w:rPr>
          <w:t>23.501</w:t>
        </w:r>
      </w:hyperlink>
      <w:r>
        <w:t>].</w:t>
      </w:r>
      <w:r w:rsidR="006641CC">
        <w:t xml:space="preserve"> This contribution discuss</w:t>
      </w:r>
      <w:r w:rsidR="009528ED">
        <w:t>es</w:t>
      </w:r>
      <w:r w:rsidR="006641CC">
        <w:t xml:space="preserve"> how it affects UL operation in NG-RAN.</w:t>
      </w:r>
    </w:p>
    <w:p w14:paraId="127ACA6D" w14:textId="0E5BC4E0" w:rsidR="00CD4C7B" w:rsidRDefault="00CD4C7B" w:rsidP="00CD4C7B">
      <w:pPr>
        <w:pStyle w:val="Heading1"/>
      </w:pPr>
      <w:r w:rsidRPr="006E13D1">
        <w:t>2</w:t>
      </w:r>
      <w:r w:rsidRPr="006E13D1">
        <w:tab/>
      </w:r>
      <w:r w:rsidR="00457FC1">
        <w:t>Uplink Operation</w:t>
      </w:r>
    </w:p>
    <w:p w14:paraId="719C7434" w14:textId="13842C5E" w:rsidR="003E6FF1" w:rsidRPr="003E6FF1" w:rsidRDefault="003E6FF1" w:rsidP="003E6FF1">
      <w:pPr>
        <w:pStyle w:val="Heading2"/>
      </w:pPr>
      <w:r w:rsidRPr="003E6FF1">
        <w:t>2.1</w:t>
      </w:r>
      <w:r w:rsidRPr="003E6FF1">
        <w:tab/>
      </w:r>
      <w:r w:rsidR="00A3674D">
        <w:t>Radio Admission Control</w:t>
      </w:r>
    </w:p>
    <w:p w14:paraId="68B3026B" w14:textId="1EA5AE82" w:rsidR="00A3674D" w:rsidRDefault="00A3674D" w:rsidP="00A3674D">
      <w:r>
        <w:t xml:space="preserve">MDBV will </w:t>
      </w:r>
      <w:r w:rsidR="00802DC5">
        <w:t xml:space="preserve">be </w:t>
      </w:r>
      <w:r>
        <w:t xml:space="preserve">used </w:t>
      </w:r>
      <w:r w:rsidR="00F87856">
        <w:t xml:space="preserve">by the gNB </w:t>
      </w:r>
      <w:r>
        <w:t xml:space="preserve">in </w:t>
      </w:r>
      <w:r w:rsidR="003E6FF1">
        <w:t xml:space="preserve">radio admission control </w:t>
      </w:r>
      <w:r>
        <w:t xml:space="preserve">to assess </w:t>
      </w:r>
      <w:r w:rsidR="003E6FF1">
        <w:t xml:space="preserve">how many </w:t>
      </w:r>
      <w:r w:rsidR="00E81288">
        <w:t xml:space="preserve">Delay Critical GBR </w:t>
      </w:r>
      <w:r w:rsidR="003E6FF1">
        <w:t>bearers can be supported in</w:t>
      </w:r>
      <w:r w:rsidR="00EE5631">
        <w:t xml:space="preserve"> parallel in</w:t>
      </w:r>
      <w:r w:rsidR="003E6FF1">
        <w:t xml:space="preserve"> a cell</w:t>
      </w:r>
      <w:r>
        <w:t xml:space="preserve">. If </w:t>
      </w:r>
      <w:r w:rsidR="00E81288">
        <w:t xml:space="preserve">Delay Critical GBR </w:t>
      </w:r>
      <w:r>
        <w:t>bearers</w:t>
      </w:r>
      <w:r w:rsidR="00EE5631">
        <w:t xml:space="preserve"> start</w:t>
      </w:r>
      <w:r w:rsidR="00CE53B1">
        <w:t>ed</w:t>
      </w:r>
      <w:r>
        <w:t xml:space="preserve"> sending more data than initially planned by the MDBV, the gNB </w:t>
      </w:r>
      <w:r w:rsidR="00CE53B1">
        <w:t>would have</w:t>
      </w:r>
      <w:r>
        <w:t xml:space="preserve"> no other choices but to take the statistical variations into account when performing admission control</w:t>
      </w:r>
      <w:r w:rsidR="00EE5631">
        <w:t xml:space="preserve">, thereby reducing </w:t>
      </w:r>
      <w:r w:rsidR="00FF3D61">
        <w:t xml:space="preserve">not only </w:t>
      </w:r>
      <w:r w:rsidR="00EE5631">
        <w:t xml:space="preserve">the number of </w:t>
      </w:r>
      <w:r w:rsidR="00E81288">
        <w:t xml:space="preserve">Delay Critical GBR </w:t>
      </w:r>
      <w:r w:rsidR="00EE5631">
        <w:t>bearers it allows</w:t>
      </w:r>
      <w:r w:rsidR="00FF3D61">
        <w:t xml:space="preserve"> but any type of bearers for which resources need to be guaranteed</w:t>
      </w:r>
      <w:r w:rsidR="00EE5631">
        <w:t>.</w:t>
      </w:r>
      <w:r>
        <w:t xml:space="preserve"> </w:t>
      </w:r>
      <w:r w:rsidR="00EE5631">
        <w:t>For instance, assuming</w:t>
      </w:r>
      <w:r>
        <w:t xml:space="preserve"> </w:t>
      </w:r>
      <w:r w:rsidR="00EE5631">
        <w:t>an</w:t>
      </w:r>
      <w:r>
        <w:t xml:space="preserve"> allocated cell capacity for DL to serve a </w:t>
      </w:r>
      <w:r w:rsidR="00E81288">
        <w:t>Delay Critical GBR flow</w:t>
      </w:r>
      <w:r w:rsidR="00EE5631">
        <w:t xml:space="preserve"> allows admitting </w:t>
      </w:r>
      <w:r>
        <w:t>40 QoS flows at 160 octets MDBV within a 5 ms PDB, if the flows instead generate traffic at 320 octets size, the number of flows that can be served is bound to roughly halve (assuming there are no other radio bounds that would prevent serving flows at that rate).</w:t>
      </w:r>
    </w:p>
    <w:p w14:paraId="29F5516B" w14:textId="216899DE" w:rsidR="00A3674D" w:rsidRDefault="00A3674D" w:rsidP="003E6FF1">
      <w:r w:rsidRPr="00EE5631">
        <w:rPr>
          <w:b/>
        </w:rPr>
        <w:t>Observation 1</w:t>
      </w:r>
      <w:r>
        <w:t xml:space="preserve">: </w:t>
      </w:r>
      <w:r w:rsidR="00EE5631">
        <w:t xml:space="preserve">allowing </w:t>
      </w:r>
      <w:r w:rsidR="00E81288">
        <w:t xml:space="preserve">Delay Critical GBR </w:t>
      </w:r>
      <w:r w:rsidR="00EE5631">
        <w:t xml:space="preserve">bearers to exceed the </w:t>
      </w:r>
      <w:r>
        <w:t xml:space="preserve">MDBV </w:t>
      </w:r>
      <w:r w:rsidR="00EE5631">
        <w:t>based on which admission control is based</w:t>
      </w:r>
      <w:r>
        <w:t xml:space="preserve"> </w:t>
      </w:r>
      <w:r w:rsidR="00EE5631">
        <w:t xml:space="preserve">would result in lower capacity for </w:t>
      </w:r>
      <w:r w:rsidR="00D20E38">
        <w:t xml:space="preserve">all </w:t>
      </w:r>
      <w:r w:rsidR="00FF3D61">
        <w:t>GBR</w:t>
      </w:r>
      <w:r w:rsidR="00EE5631">
        <w:t xml:space="preserve"> bearers.</w:t>
      </w:r>
    </w:p>
    <w:p w14:paraId="330AA9E9" w14:textId="01BEBEF4" w:rsidR="00EE5631" w:rsidRDefault="00802DC5" w:rsidP="003E6FF1">
      <w:r>
        <w:t xml:space="preserve">To maximise cell capacity, </w:t>
      </w:r>
      <w:r w:rsidR="00EE5631">
        <w:t xml:space="preserve">MDBV enforcement is therefore </w:t>
      </w:r>
      <w:r>
        <w:t xml:space="preserve">obviously </w:t>
      </w:r>
      <w:r w:rsidR="00EE5631">
        <w:t>needed.</w:t>
      </w:r>
    </w:p>
    <w:p w14:paraId="0C362C5F" w14:textId="5EFF431E" w:rsidR="00EE5631" w:rsidRDefault="00EE5631" w:rsidP="003E6FF1">
      <w:r w:rsidRPr="00EE5631">
        <w:rPr>
          <w:b/>
        </w:rPr>
        <w:t>Proposal 1</w:t>
      </w:r>
      <w:r>
        <w:t xml:space="preserve">: MDBV </w:t>
      </w:r>
      <w:r w:rsidR="00D20E38">
        <w:t>is enforced</w:t>
      </w:r>
      <w:r>
        <w:t>.</w:t>
      </w:r>
    </w:p>
    <w:p w14:paraId="766D1730" w14:textId="6B5FCE60" w:rsidR="00EE5631" w:rsidRPr="003E6FF1" w:rsidRDefault="003B6743" w:rsidP="003B6743">
      <w:r>
        <w:t>In the downlink, it is up to the gNB to enforce the MDBV and this has no impact on RAN2. We will therefore focus on uplink operations</w:t>
      </w:r>
      <w:r w:rsidR="00D20E38">
        <w:t xml:space="preserve"> affecting the UE behaviour in general and LCP in particular.</w:t>
      </w:r>
    </w:p>
    <w:p w14:paraId="67135C28" w14:textId="16D86A94" w:rsidR="001672B6" w:rsidRDefault="001672B6" w:rsidP="001672B6">
      <w:pPr>
        <w:pStyle w:val="Heading2"/>
        <w:rPr>
          <w:lang w:eastAsia="ja-JP"/>
        </w:rPr>
      </w:pPr>
      <w:r>
        <w:rPr>
          <w:lang w:eastAsia="ja-JP"/>
        </w:rPr>
        <w:t>2.</w:t>
      </w:r>
      <w:r w:rsidR="003E6FF1">
        <w:rPr>
          <w:lang w:eastAsia="ja-JP"/>
        </w:rPr>
        <w:t>2</w:t>
      </w:r>
      <w:r>
        <w:rPr>
          <w:lang w:eastAsia="ja-JP"/>
        </w:rPr>
        <w:tab/>
        <w:t>Baseline Mechanisms</w:t>
      </w:r>
    </w:p>
    <w:p w14:paraId="2DEDEA99" w14:textId="74AEE42A" w:rsidR="00537202" w:rsidRDefault="00EE5631" w:rsidP="006641CC">
      <w:pPr>
        <w:rPr>
          <w:color w:val="000000"/>
          <w:lang w:eastAsia="ja-JP"/>
        </w:rPr>
      </w:pPr>
      <w:r>
        <w:rPr>
          <w:color w:val="000000"/>
          <w:lang w:eastAsia="ja-JP"/>
        </w:rPr>
        <w:t xml:space="preserve">Before checking how MDBV enforcement can be ensured, it is probably useful to remember how uplink data transmission works in NR. </w:t>
      </w:r>
      <w:r w:rsidR="006641CC">
        <w:rPr>
          <w:color w:val="000000"/>
          <w:lang w:eastAsia="ja-JP"/>
        </w:rPr>
        <w:t xml:space="preserve">In uplink, </w:t>
      </w:r>
      <w:r w:rsidR="00537202">
        <w:rPr>
          <w:color w:val="000000"/>
          <w:lang w:eastAsia="ja-JP"/>
        </w:rPr>
        <w:t xml:space="preserve">the </w:t>
      </w:r>
      <w:r w:rsidR="006641CC">
        <w:rPr>
          <w:color w:val="000000"/>
          <w:lang w:eastAsia="ja-JP"/>
        </w:rPr>
        <w:t xml:space="preserve">UE has a </w:t>
      </w:r>
      <w:r w:rsidR="006641CC" w:rsidRPr="006641CC">
        <w:rPr>
          <w:color w:val="000000"/>
          <w:lang w:eastAsia="ja-JP"/>
        </w:rPr>
        <w:t>rate control function which manages the sharing of uplink reso</w:t>
      </w:r>
      <w:r w:rsidR="006641CC">
        <w:rPr>
          <w:color w:val="000000"/>
          <w:lang w:eastAsia="ja-JP"/>
        </w:rPr>
        <w:t xml:space="preserve">urces between logical channels: the logical channel prioritisation function (LCP). </w:t>
      </w:r>
      <w:r w:rsidR="006641CC" w:rsidRPr="006641CC">
        <w:rPr>
          <w:color w:val="000000"/>
          <w:lang w:eastAsia="ja-JP"/>
        </w:rPr>
        <w:t xml:space="preserve">RRC controls </w:t>
      </w:r>
      <w:r w:rsidR="006641CC">
        <w:rPr>
          <w:color w:val="000000"/>
          <w:lang w:eastAsia="ja-JP"/>
        </w:rPr>
        <w:t>LCP</w:t>
      </w:r>
      <w:r w:rsidR="006641CC" w:rsidRPr="006641CC">
        <w:rPr>
          <w:color w:val="000000"/>
          <w:lang w:eastAsia="ja-JP"/>
        </w:rPr>
        <w:t xml:space="preserve"> by giving each logical channel a priority, a prioritised bit rate (PBR), a buffer size duration (BSD)</w:t>
      </w:r>
      <w:r w:rsidR="006641CC">
        <w:rPr>
          <w:color w:val="000000"/>
          <w:lang w:eastAsia="ja-JP"/>
        </w:rPr>
        <w:t xml:space="preserve"> and a list of possible restrictions</w:t>
      </w:r>
      <w:r w:rsidR="00537202">
        <w:rPr>
          <w:color w:val="000000"/>
          <w:lang w:eastAsia="ja-JP"/>
        </w:rPr>
        <w:t xml:space="preserve"> (controlling which configured cells, numerologies, PUSCH transmission duration and Configured Grant type the logical channel can use).</w:t>
      </w:r>
    </w:p>
    <w:p w14:paraId="432329E7" w14:textId="23DBBDFD" w:rsidR="006641CC" w:rsidRPr="006641CC" w:rsidRDefault="00537202" w:rsidP="006641CC">
      <w:pPr>
        <w:rPr>
          <w:rFonts w:ascii="Calibri" w:hAnsi="Calibri"/>
          <w:color w:val="000000"/>
          <w:sz w:val="22"/>
          <w:szCs w:val="22"/>
          <w:lang w:val="en-US" w:eastAsia="ja-JP"/>
        </w:rPr>
      </w:pPr>
      <w:r>
        <w:rPr>
          <w:color w:val="000000"/>
          <w:lang w:eastAsia="ja-JP"/>
        </w:rPr>
        <w:t xml:space="preserve">With a token </w:t>
      </w:r>
      <w:r>
        <w:t xml:space="preserve">bucket algorithm, </w:t>
      </w:r>
      <w:r w:rsidR="006641CC">
        <w:rPr>
          <w:color w:val="000000"/>
          <w:lang w:eastAsia="ja-JP"/>
        </w:rPr>
        <w:t xml:space="preserve">LCP </w:t>
      </w:r>
      <w:r w:rsidR="006641CC" w:rsidRPr="006641CC">
        <w:rPr>
          <w:color w:val="000000"/>
          <w:lang w:eastAsia="ja-JP"/>
        </w:rPr>
        <w:t xml:space="preserve">ensures that the logical channel(s) </w:t>
      </w:r>
      <w:r w:rsidR="006641CC">
        <w:rPr>
          <w:color w:val="000000"/>
          <w:lang w:eastAsia="ja-JP"/>
        </w:rPr>
        <w:t xml:space="preserve">are served </w:t>
      </w:r>
      <w:r w:rsidR="006641CC" w:rsidRPr="006641CC">
        <w:rPr>
          <w:color w:val="000000"/>
          <w:lang w:eastAsia="ja-JP"/>
        </w:rPr>
        <w:t>in the following sequence:</w:t>
      </w:r>
    </w:p>
    <w:p w14:paraId="370B5EB5" w14:textId="77777777" w:rsidR="006641CC" w:rsidRPr="006641CC" w:rsidRDefault="006641CC" w:rsidP="006641CC">
      <w:pPr>
        <w:ind w:left="568" w:hanging="284"/>
        <w:rPr>
          <w:rFonts w:ascii="Calibri" w:hAnsi="Calibri"/>
          <w:color w:val="000000"/>
          <w:sz w:val="22"/>
          <w:szCs w:val="22"/>
          <w:lang w:val="en-US" w:eastAsia="ja-JP"/>
        </w:rPr>
      </w:pPr>
      <w:r w:rsidRPr="006641CC">
        <w:rPr>
          <w:color w:val="000000"/>
          <w:lang w:eastAsia="ja-JP"/>
        </w:rPr>
        <w:t>1.   All relevant logical channels in decreasing priority order up to their PBR;</w:t>
      </w:r>
    </w:p>
    <w:p w14:paraId="4A3D0CC9" w14:textId="77777777" w:rsidR="006641CC" w:rsidRPr="006641CC" w:rsidRDefault="006641CC" w:rsidP="006641CC">
      <w:pPr>
        <w:ind w:left="568" w:hanging="284"/>
        <w:rPr>
          <w:rFonts w:ascii="Calibri" w:hAnsi="Calibri"/>
          <w:color w:val="000000"/>
          <w:sz w:val="22"/>
          <w:szCs w:val="22"/>
          <w:lang w:val="en-US" w:eastAsia="ja-JP"/>
        </w:rPr>
      </w:pPr>
      <w:r w:rsidRPr="006641CC">
        <w:rPr>
          <w:color w:val="000000"/>
          <w:lang w:eastAsia="ja-JP"/>
        </w:rPr>
        <w:t>2.   All relevant logical channels in decreasing priority order for the remaining resources assigned by the grant.</w:t>
      </w:r>
    </w:p>
    <w:p w14:paraId="1D3B7F9D" w14:textId="03140CD8" w:rsidR="00915210" w:rsidRDefault="00537202" w:rsidP="00915210">
      <w:pPr>
        <w:pStyle w:val="NO"/>
        <w:rPr>
          <w:lang w:eastAsia="ko-KR"/>
        </w:rPr>
      </w:pPr>
      <w:r>
        <w:t>NOTE:</w:t>
      </w:r>
      <w:r>
        <w:tab/>
        <w:t xml:space="preserve">the </w:t>
      </w:r>
      <w:r w:rsidRPr="00FB452D">
        <w:rPr>
          <w:lang w:eastAsia="ko-KR"/>
        </w:rPr>
        <w:t xml:space="preserve">bucket size of </w:t>
      </w:r>
      <w:r>
        <w:rPr>
          <w:lang w:eastAsia="ko-KR"/>
        </w:rPr>
        <w:t xml:space="preserve">each </w:t>
      </w:r>
      <w:r w:rsidRPr="00FB452D">
        <w:rPr>
          <w:lang w:eastAsia="ko-KR"/>
        </w:rPr>
        <w:t xml:space="preserve">logical channel </w:t>
      </w:r>
      <w:r>
        <w:rPr>
          <w:lang w:eastAsia="ko-KR"/>
        </w:rPr>
        <w:t xml:space="preserve">is </w:t>
      </w:r>
      <w:r w:rsidRPr="00FB452D">
        <w:rPr>
          <w:lang w:eastAsia="ko-KR"/>
        </w:rPr>
        <w:t>set to PBR × BSD.</w:t>
      </w:r>
    </w:p>
    <w:p w14:paraId="208CA644" w14:textId="5C0F1D2B" w:rsidR="00537202" w:rsidRDefault="001672B6" w:rsidP="001672B6">
      <w:pPr>
        <w:pStyle w:val="Heading2"/>
      </w:pPr>
      <w:r>
        <w:lastRenderedPageBreak/>
        <w:t>2.2</w:t>
      </w:r>
      <w:r>
        <w:tab/>
      </w:r>
      <w:r w:rsidR="00E81288">
        <w:t>Delay Critical GBR Services</w:t>
      </w:r>
    </w:p>
    <w:p w14:paraId="461EA848" w14:textId="61816D71" w:rsidR="001F07DB" w:rsidRDefault="001F07DB" w:rsidP="001F07DB">
      <w:r>
        <w:t xml:space="preserve">In order to understand how the MDBV impacts UL operation for the support of </w:t>
      </w:r>
      <w:r w:rsidR="00E81288">
        <w:t xml:space="preserve">Delay Critical GBR </w:t>
      </w:r>
      <w:r>
        <w:t>services</w:t>
      </w:r>
      <w:r w:rsidR="00E81288">
        <w:t xml:space="preserve"> (i.e. URLLC services)</w:t>
      </w:r>
      <w:r w:rsidR="004E7646">
        <w:t>, we need to distinguish two cases:</w:t>
      </w:r>
    </w:p>
    <w:p w14:paraId="5D23BFFA" w14:textId="52717AD9" w:rsidR="00D47022" w:rsidRDefault="00D47022" w:rsidP="00D47022">
      <w:pPr>
        <w:pStyle w:val="B1"/>
      </w:pPr>
      <w:r>
        <w:t>1.</w:t>
      </w:r>
      <w:r>
        <w:tab/>
        <w:t xml:space="preserve">Scenarios where LCP restrictions can be put in place to isolate </w:t>
      </w:r>
      <w:r w:rsidR="00E81288">
        <w:t xml:space="preserve">Delay Critical GBR </w:t>
      </w:r>
      <w:r>
        <w:t>services by mapping them on distinct resources (may it be cell, numerology…)</w:t>
      </w:r>
      <w:r w:rsidR="00AB302F">
        <w:t>;</w:t>
      </w:r>
    </w:p>
    <w:p w14:paraId="14D8B91F" w14:textId="37BE584B" w:rsidR="00D47022" w:rsidRDefault="00D47022" w:rsidP="00D47022">
      <w:pPr>
        <w:pStyle w:val="B1"/>
      </w:pPr>
      <w:r>
        <w:t>2.</w:t>
      </w:r>
      <w:r>
        <w:tab/>
        <w:t xml:space="preserve">Scenarios where LCP restrictions cannot isolate </w:t>
      </w:r>
      <w:r w:rsidR="00E81288">
        <w:t xml:space="preserve">Delay Critical GBR </w:t>
      </w:r>
      <w:r>
        <w:t>services</w:t>
      </w:r>
      <w:r w:rsidR="00A82A58">
        <w:t xml:space="preserve"> from each other and/or from other services</w:t>
      </w:r>
      <w:r w:rsidR="00AB4734">
        <w:t>.</w:t>
      </w:r>
    </w:p>
    <w:p w14:paraId="2CFCFB10" w14:textId="2340A7E3" w:rsidR="00915210" w:rsidRDefault="00AB4734" w:rsidP="00AB4734">
      <w:r>
        <w:t>In the first case, it is obvious that through scheduling</w:t>
      </w:r>
      <w:r w:rsidR="00915210">
        <w:t xml:space="preserve"> (dynamic or SPS)</w:t>
      </w:r>
      <w:r>
        <w:t xml:space="preserve">, the gNB </w:t>
      </w:r>
      <w:r w:rsidR="00915210">
        <w:t xml:space="preserve">has direct control of the </w:t>
      </w:r>
      <w:r w:rsidR="00E81288">
        <w:t xml:space="preserve">Delay Critical GBR </w:t>
      </w:r>
      <w:r w:rsidR="00915210">
        <w:t xml:space="preserve">bearers and </w:t>
      </w:r>
      <w:r>
        <w:t>can alway</w:t>
      </w:r>
      <w:r w:rsidR="00915210">
        <w:t xml:space="preserve">s </w:t>
      </w:r>
      <w:r w:rsidR="003E6FF1">
        <w:t>ensure</w:t>
      </w:r>
      <w:r w:rsidR="00915210">
        <w:t xml:space="preserve"> that the MDBV </w:t>
      </w:r>
      <w:r w:rsidR="003E6FF1">
        <w:t xml:space="preserve">is </w:t>
      </w:r>
      <w:r w:rsidR="00915210">
        <w:t>never exceeded.</w:t>
      </w:r>
    </w:p>
    <w:p w14:paraId="283B957D" w14:textId="23B6ADB4" w:rsidR="004E7646" w:rsidRDefault="00A3674D" w:rsidP="00AB4734">
      <w:r w:rsidRPr="00014A3D">
        <w:rPr>
          <w:b/>
        </w:rPr>
        <w:t>Observation 2</w:t>
      </w:r>
      <w:r w:rsidR="00915210" w:rsidRPr="00014A3D">
        <w:rPr>
          <w:b/>
        </w:rPr>
        <w:t>:</w:t>
      </w:r>
      <w:r w:rsidR="00915210">
        <w:t xml:space="preserve"> when </w:t>
      </w:r>
      <w:r w:rsidR="00E81288">
        <w:t xml:space="preserve">Delay Critical GBR </w:t>
      </w:r>
      <w:r w:rsidR="00915210">
        <w:t>services are mapped on distinct resources, the gNB can ensure</w:t>
      </w:r>
      <w:r w:rsidR="004E7646">
        <w:t xml:space="preserve"> </w:t>
      </w:r>
      <w:r w:rsidR="00A82A58">
        <w:t xml:space="preserve">that </w:t>
      </w:r>
      <w:r w:rsidR="00915210">
        <w:t>the MDBV</w:t>
      </w:r>
      <w:r w:rsidR="002F5A3A">
        <w:t xml:space="preserve"> </w:t>
      </w:r>
      <w:r w:rsidR="00014A3D">
        <w:t xml:space="preserve">is </w:t>
      </w:r>
      <w:r w:rsidR="00A82A58">
        <w:t>never</w:t>
      </w:r>
      <w:r w:rsidR="00915210">
        <w:t xml:space="preserve"> exceeded.</w:t>
      </w:r>
    </w:p>
    <w:p w14:paraId="1BAAF3BC" w14:textId="6B2DA599" w:rsidR="004E7646" w:rsidRDefault="00014A3D" w:rsidP="001F07DB">
      <w:r>
        <w:t>Note that f</w:t>
      </w:r>
      <w:r w:rsidR="00915210">
        <w:t xml:space="preserve">or that purpose, it would be useful to confirm that the configuration of </w:t>
      </w:r>
      <w:r w:rsidR="00915210" w:rsidRPr="00915210">
        <w:rPr>
          <w:i/>
          <w:lang w:eastAsia="ko-KR"/>
        </w:rPr>
        <w:t>allowedServingCells</w:t>
      </w:r>
      <w:r w:rsidR="00915210">
        <w:rPr>
          <w:i/>
          <w:lang w:eastAsia="ko-KR"/>
        </w:rPr>
        <w:t xml:space="preserve"> </w:t>
      </w:r>
      <w:r w:rsidR="00915210">
        <w:t xml:space="preserve">is not limited to </w:t>
      </w:r>
      <w:r w:rsidR="00A82A58">
        <w:t xml:space="preserve">radio </w:t>
      </w:r>
      <w:r w:rsidR="00915210">
        <w:t>configurations with duplication.</w:t>
      </w:r>
    </w:p>
    <w:p w14:paraId="6BF0A82B" w14:textId="4140362B" w:rsidR="00915210" w:rsidRDefault="00D20E38" w:rsidP="001F07DB">
      <w:pPr>
        <w:rPr>
          <w:lang w:eastAsia="ko-KR"/>
        </w:rPr>
      </w:pPr>
      <w:r>
        <w:rPr>
          <w:b/>
        </w:rPr>
        <w:t>Proposal 2</w:t>
      </w:r>
      <w:r w:rsidR="00915210" w:rsidRPr="00014A3D">
        <w:rPr>
          <w:b/>
        </w:rPr>
        <w:t>:</w:t>
      </w:r>
      <w:r w:rsidR="00915210">
        <w:t xml:space="preserve"> confirm that </w:t>
      </w:r>
      <w:r w:rsidR="00915210" w:rsidRPr="00915210">
        <w:rPr>
          <w:i/>
          <w:lang w:eastAsia="ko-KR"/>
        </w:rPr>
        <w:t>allowedServingCells</w:t>
      </w:r>
      <w:r w:rsidR="00915210">
        <w:rPr>
          <w:i/>
          <w:lang w:eastAsia="ko-KR"/>
        </w:rPr>
        <w:t xml:space="preserve"> </w:t>
      </w:r>
      <w:r w:rsidR="00915210">
        <w:rPr>
          <w:lang w:eastAsia="ko-KR"/>
        </w:rPr>
        <w:t>can be configured regardless of duplication.</w:t>
      </w:r>
    </w:p>
    <w:p w14:paraId="316EC513" w14:textId="64CC0102" w:rsidR="00014A3D" w:rsidRDefault="003E6FF1" w:rsidP="00B448FD">
      <w:r>
        <w:t>In the second case, the gNB has no direc</w:t>
      </w:r>
      <w:r w:rsidR="00014A3D">
        <w:t xml:space="preserve">t control of the bearers and they </w:t>
      </w:r>
      <w:r w:rsidR="00AB302F">
        <w:t xml:space="preserve">can </w:t>
      </w:r>
      <w:r w:rsidR="00014A3D">
        <w:t xml:space="preserve">freely compete for the grants. It seems reasonable to assume that </w:t>
      </w:r>
      <w:r w:rsidR="00E81288">
        <w:t xml:space="preserve">Delay Critical GBR </w:t>
      </w:r>
      <w:r w:rsidR="00014A3D">
        <w:t xml:space="preserve">bearers will be configured with a high priority and will therefore see their PBR served first. </w:t>
      </w:r>
      <w:r w:rsidR="00E95DCF">
        <w:t>However, i</w:t>
      </w:r>
      <w:r w:rsidR="00014A3D">
        <w:t xml:space="preserve">n order to guarantee than one </w:t>
      </w:r>
      <w:r w:rsidR="00E81288">
        <w:t xml:space="preserve">Delay Critical GBR </w:t>
      </w:r>
      <w:r w:rsidR="00014A3D">
        <w:t xml:space="preserve">bearer </w:t>
      </w:r>
      <w:r w:rsidR="00D40F99">
        <w:t xml:space="preserve">(possibly delayed) </w:t>
      </w:r>
      <w:r w:rsidR="00014A3D">
        <w:t xml:space="preserve">does not eat up the resources </w:t>
      </w:r>
      <w:r w:rsidR="00E95DCF">
        <w:t>meant for</w:t>
      </w:r>
      <w:r w:rsidR="00014A3D">
        <w:t xml:space="preserve"> </w:t>
      </w:r>
      <w:r w:rsidR="00E95DCF">
        <w:t xml:space="preserve">another </w:t>
      </w:r>
      <w:r w:rsidR="00E81288">
        <w:t xml:space="preserve">Delay Critical GBR </w:t>
      </w:r>
      <w:r w:rsidR="00E95DCF">
        <w:t>bearer</w:t>
      </w:r>
      <w:r w:rsidR="00D40F99">
        <w:t xml:space="preserve"> </w:t>
      </w:r>
      <w:r w:rsidR="00481B59">
        <w:t>and that the PDB requirements are fulfilled</w:t>
      </w:r>
      <w:r w:rsidR="00E95DCF">
        <w:t xml:space="preserve">, </w:t>
      </w:r>
      <w:r w:rsidR="00014A3D">
        <w:t xml:space="preserve">the </w:t>
      </w:r>
      <w:r w:rsidR="00E95DCF">
        <w:t>BSD needs to be aligned to the PDB characteristic of the 5QI.</w:t>
      </w:r>
      <w:r w:rsidR="00A07C6F">
        <w:t xml:space="preserve"> </w:t>
      </w:r>
    </w:p>
    <w:p w14:paraId="48A4E4D2" w14:textId="353F36D1" w:rsidR="00D40F99" w:rsidRDefault="003B196E" w:rsidP="00D40F99">
      <w:pPr>
        <w:pStyle w:val="NO"/>
      </w:pPr>
      <w:r>
        <w:t>NOTE:</w:t>
      </w:r>
      <w:r>
        <w:tab/>
      </w:r>
      <w:r w:rsidR="00D40F99">
        <w:t xml:space="preserve">SA2 also defines that </w:t>
      </w:r>
      <w:r w:rsidR="00D40F99">
        <w:rPr>
          <w:lang w:val="en-US"/>
        </w:rPr>
        <w:t>packets</w:t>
      </w:r>
      <w:r w:rsidR="00D40F99" w:rsidRPr="009433A5">
        <w:t xml:space="preserve"> de</w:t>
      </w:r>
      <w:r w:rsidR="00D40F99" w:rsidRPr="004E47B9">
        <w:t>layed more than the PDB are added to the PER.</w:t>
      </w:r>
    </w:p>
    <w:p w14:paraId="58C65ADD" w14:textId="6E2AE144" w:rsidR="00915210" w:rsidRDefault="00E95DCF" w:rsidP="00B448FD">
      <w:r w:rsidRPr="00E95DCF">
        <w:rPr>
          <w:b/>
        </w:rPr>
        <w:t xml:space="preserve">Proposal </w:t>
      </w:r>
      <w:r w:rsidR="00D20E38">
        <w:rPr>
          <w:b/>
        </w:rPr>
        <w:t>3</w:t>
      </w:r>
      <w:r>
        <w:t xml:space="preserve">: </w:t>
      </w:r>
      <w:r w:rsidR="00D40F99">
        <w:t xml:space="preserve">add </w:t>
      </w:r>
      <w:r w:rsidR="00D40F99" w:rsidRPr="003B196E">
        <w:rPr>
          <w:i/>
        </w:rPr>
        <w:t>ms5</w:t>
      </w:r>
      <w:r w:rsidR="00D40F99">
        <w:t xml:space="preserve">, </w:t>
      </w:r>
      <w:r w:rsidR="00D40F99" w:rsidRPr="003B196E">
        <w:rPr>
          <w:i/>
        </w:rPr>
        <w:t>ms10</w:t>
      </w:r>
      <w:r w:rsidR="00D40F99">
        <w:t xml:space="preserve"> and </w:t>
      </w:r>
      <w:r w:rsidR="00D40F99" w:rsidRPr="003B196E">
        <w:rPr>
          <w:i/>
        </w:rPr>
        <w:t>ms20</w:t>
      </w:r>
      <w:r w:rsidR="00D40F99">
        <w:t xml:space="preserve"> to the </w:t>
      </w:r>
      <w:r w:rsidR="00D40F99" w:rsidRPr="00D40F99">
        <w:rPr>
          <w:i/>
        </w:rPr>
        <w:t>bucketSizeDuration</w:t>
      </w:r>
      <w:r w:rsidR="00D40F99">
        <w:t xml:space="preserve"> in RRC</w:t>
      </w:r>
      <w:r w:rsidR="00AB302F">
        <w:t>.</w:t>
      </w:r>
    </w:p>
    <w:p w14:paraId="654C6361" w14:textId="11A0DB3F" w:rsidR="00D40F99" w:rsidRPr="00CE53B1" w:rsidRDefault="002F01AF" w:rsidP="00B448FD">
      <w:pPr>
        <w:rPr>
          <w:lang w:val="en-US"/>
        </w:rPr>
      </w:pPr>
      <w:r>
        <w:t xml:space="preserve">Another problem that arises is that when additional resources are granted </w:t>
      </w:r>
      <w:r w:rsidR="00802DC5">
        <w:t>for the purpose of serving</w:t>
      </w:r>
      <w:r>
        <w:t xml:space="preserve"> </w:t>
      </w:r>
      <w:r w:rsidR="00FF3D61">
        <w:t>other</w:t>
      </w:r>
      <w:r>
        <w:t xml:space="preserve"> bearer</w:t>
      </w:r>
      <w:r w:rsidR="00FF3D61">
        <w:t>s</w:t>
      </w:r>
      <w:r>
        <w:t>, the</w:t>
      </w:r>
      <w:r w:rsidR="00FF3D61">
        <w:t>re is no possibility to prevent a high priority</w:t>
      </w:r>
      <w:r>
        <w:t xml:space="preserve"> </w:t>
      </w:r>
      <w:r w:rsidR="00E81288">
        <w:t xml:space="preserve">Delay Critical GBR </w:t>
      </w:r>
      <w:r w:rsidR="00FF3D61">
        <w:t>bearer from sending data beyond MDBV if it has data buffered</w:t>
      </w:r>
      <w:r w:rsidR="00AC275F">
        <w:t>.</w:t>
      </w:r>
      <w:r w:rsidR="00FF3D61">
        <w:t xml:space="preserve"> While it may be argued that since the resources are </w:t>
      </w:r>
      <w:r w:rsidR="00B50BB4" w:rsidRPr="00B50BB4">
        <w:t xml:space="preserve">anyway </w:t>
      </w:r>
      <w:r w:rsidR="00FF3D61">
        <w:t xml:space="preserve">used to send data </w:t>
      </w:r>
      <w:r w:rsidR="00C95BB1">
        <w:t>and therefore not wasted</w:t>
      </w:r>
      <w:r w:rsidR="00B50BB4">
        <w:t xml:space="preserve"> for that particular UE</w:t>
      </w:r>
      <w:r w:rsidR="00FF3D61">
        <w:t xml:space="preserve">, we need to remember the explanation </w:t>
      </w:r>
      <w:r w:rsidR="00C95BB1">
        <w:t xml:space="preserve">given in section 2.1 above: it will result in lower capacity for </w:t>
      </w:r>
      <w:r w:rsidR="00B50BB4">
        <w:t xml:space="preserve">other </w:t>
      </w:r>
      <w:r w:rsidR="00C95BB1">
        <w:t>bearers as the gNB will need to allocate more resources to factor the statistical variations in.</w:t>
      </w:r>
      <w:r w:rsidR="00CE53B1">
        <w:t xml:space="preserve"> For instance, considering an URLLC service requiring </w:t>
      </w:r>
      <w:r w:rsidR="00CE53B1" w:rsidRPr="00CE53B1">
        <w:rPr>
          <w:lang w:val="en-US"/>
        </w:rPr>
        <w:t xml:space="preserve">160 octets </w:t>
      </w:r>
      <w:r w:rsidR="00CE53B1">
        <w:rPr>
          <w:lang w:val="en-US"/>
        </w:rPr>
        <w:t xml:space="preserve">to be sent </w:t>
      </w:r>
      <w:r w:rsidR="00CE53B1" w:rsidRPr="00CE53B1">
        <w:rPr>
          <w:lang w:val="en-US"/>
        </w:rPr>
        <w:t>within 5ms every 1s</w:t>
      </w:r>
      <w:r w:rsidR="002B7D53">
        <w:rPr>
          <w:lang w:val="en-US"/>
        </w:rPr>
        <w:t xml:space="preserve">, </w:t>
      </w:r>
      <w:r w:rsidR="00CE53B1">
        <w:rPr>
          <w:lang w:val="en-US"/>
        </w:rPr>
        <w:t xml:space="preserve">a PDB of 5ms, MDBV of </w:t>
      </w:r>
      <w:r w:rsidR="00CE53B1" w:rsidRPr="00CE53B1">
        <w:rPr>
          <w:lang w:val="en-US"/>
        </w:rPr>
        <w:t>160octets</w:t>
      </w:r>
      <w:r w:rsidR="00CE53B1">
        <w:rPr>
          <w:lang w:val="en-US"/>
        </w:rPr>
        <w:t xml:space="preserve"> and GBR of 1,280bit/s (160octets/s) would be configured. If the URLLC service ignored the MDBV, the gNB would have to cope with a bit rate </w:t>
      </w:r>
      <w:r w:rsidR="00BF72D7">
        <w:rPr>
          <w:lang w:val="en-US"/>
        </w:rPr>
        <w:t>up to</w:t>
      </w:r>
      <w:r w:rsidR="00CE53B1">
        <w:rPr>
          <w:lang w:val="en-US"/>
        </w:rPr>
        <w:t xml:space="preserve"> 256,000bit/s</w:t>
      </w:r>
      <w:r w:rsidR="00BF72D7">
        <w:rPr>
          <w:lang w:val="en-US"/>
        </w:rPr>
        <w:t xml:space="preserve"> (160octets/5ms)</w:t>
      </w:r>
      <w:r w:rsidR="00CE53B1">
        <w:rPr>
          <w:lang w:val="en-US"/>
        </w:rPr>
        <w:t>.</w:t>
      </w:r>
    </w:p>
    <w:p w14:paraId="4D36A8F1" w14:textId="6AEF7789" w:rsidR="003B196E" w:rsidRDefault="002F01AF" w:rsidP="00B448FD">
      <w:r w:rsidRPr="00C95BB1">
        <w:rPr>
          <w:b/>
        </w:rPr>
        <w:t>Observation 3</w:t>
      </w:r>
      <w:r>
        <w:t xml:space="preserve">: MDBV cannot be enforced in scenarios where multiple </w:t>
      </w:r>
      <w:r w:rsidR="00B50BB4">
        <w:t xml:space="preserve">Delay Critical GBR bearers </w:t>
      </w:r>
      <w:r>
        <w:t>are m</w:t>
      </w:r>
      <w:r w:rsidR="00B50BB4">
        <w:t>ultiplexed on the same resource</w:t>
      </w:r>
      <w:r w:rsidR="00C95BB1">
        <w:t>.</w:t>
      </w:r>
    </w:p>
    <w:p w14:paraId="7FC9A359" w14:textId="6DAE41CB" w:rsidR="00D20E38" w:rsidRDefault="00D20E38" w:rsidP="00B448FD">
      <w:r>
        <w:t>If RAN2 agrees with the observations, we suggest starting an email discussion until the next meeting to come up with an agreeable solution.</w:t>
      </w:r>
    </w:p>
    <w:p w14:paraId="511EF6AA" w14:textId="21566939" w:rsidR="00D20E38" w:rsidRPr="001672B6" w:rsidRDefault="00D20E38" w:rsidP="00B448FD">
      <w:r w:rsidRPr="00D20E38">
        <w:rPr>
          <w:b/>
        </w:rPr>
        <w:t>Proposal 3</w:t>
      </w:r>
      <w:r>
        <w:t>: have an email discussion until the next meeting to select a solution to enforce MDBV in uplink.</w:t>
      </w:r>
    </w:p>
    <w:p w14:paraId="43A12B72" w14:textId="3649C723" w:rsidR="00CD4C7B" w:rsidRPr="006E13D1" w:rsidRDefault="00E95DCF" w:rsidP="00CD4C7B">
      <w:pPr>
        <w:pStyle w:val="Heading1"/>
      </w:pPr>
      <w:r>
        <w:t>3</w:t>
      </w:r>
      <w:r w:rsidR="00CD4C7B" w:rsidRPr="006E13D1">
        <w:tab/>
      </w:r>
      <w:r w:rsidR="00014A3D">
        <w:t>Conclusion</w:t>
      </w:r>
    </w:p>
    <w:p w14:paraId="5524F183" w14:textId="70028D1F" w:rsidR="00CD4C7B" w:rsidRPr="006E13D1" w:rsidRDefault="00D20E38" w:rsidP="00CD4C7B">
      <w:r>
        <w:t>This contribution has discussed MDBV and has made the following observations and proposals</w:t>
      </w:r>
      <w:r w:rsidR="00CD4C7B" w:rsidRPr="006E13D1">
        <w:t>.</w:t>
      </w:r>
    </w:p>
    <w:p w14:paraId="29177DB6" w14:textId="3D654F4F" w:rsidR="00D20E38" w:rsidRDefault="00D20E38" w:rsidP="00D20E38">
      <w:r w:rsidRPr="00EE5631">
        <w:rPr>
          <w:b/>
        </w:rPr>
        <w:t>Observation 1</w:t>
      </w:r>
      <w:r>
        <w:t>: allowing Delay Critical GBR bearers to exceed the MDBV based on which admission control is based would result in lower capacity for all GBR bearers.</w:t>
      </w:r>
    </w:p>
    <w:p w14:paraId="3D240913" w14:textId="77777777" w:rsidR="00D20E38" w:rsidRDefault="00D20E38" w:rsidP="00D20E38">
      <w:r w:rsidRPr="00EE5631">
        <w:rPr>
          <w:b/>
        </w:rPr>
        <w:t>Proposal 1</w:t>
      </w:r>
      <w:r>
        <w:t>: MDBV is enforced.</w:t>
      </w:r>
    </w:p>
    <w:p w14:paraId="38B84B2A" w14:textId="483A775F" w:rsidR="00D20E38" w:rsidRDefault="00D20E38" w:rsidP="00D20E38">
      <w:r w:rsidRPr="00014A3D">
        <w:rPr>
          <w:b/>
        </w:rPr>
        <w:t>Observation 2</w:t>
      </w:r>
      <w:r w:rsidRPr="00D20E38">
        <w:t>:</w:t>
      </w:r>
      <w:r>
        <w:t xml:space="preserve"> when Delay Critical GBR services are mapped on distinct resources, the gNB can ensure that the MDBV is never exceeded in uplink.</w:t>
      </w:r>
    </w:p>
    <w:p w14:paraId="5313E198" w14:textId="3EA1EEDE" w:rsidR="00D20E38" w:rsidRDefault="00D20E38" w:rsidP="00D20E38">
      <w:pPr>
        <w:rPr>
          <w:lang w:eastAsia="ko-KR"/>
        </w:rPr>
      </w:pPr>
      <w:r>
        <w:rPr>
          <w:b/>
        </w:rPr>
        <w:t>Proposal 2</w:t>
      </w:r>
      <w:r w:rsidRPr="00D20E38">
        <w:t>:</w:t>
      </w:r>
      <w:r>
        <w:t xml:space="preserve"> confirm that </w:t>
      </w:r>
      <w:r w:rsidRPr="00915210">
        <w:rPr>
          <w:i/>
          <w:lang w:eastAsia="ko-KR"/>
        </w:rPr>
        <w:t>allowedServingCells</w:t>
      </w:r>
      <w:r>
        <w:rPr>
          <w:i/>
          <w:lang w:eastAsia="ko-KR"/>
        </w:rPr>
        <w:t xml:space="preserve"> </w:t>
      </w:r>
      <w:r>
        <w:rPr>
          <w:lang w:eastAsia="ko-KR"/>
        </w:rPr>
        <w:t>can be configured regardless of duplication.</w:t>
      </w:r>
    </w:p>
    <w:p w14:paraId="6A081483" w14:textId="77777777" w:rsidR="00D20E38" w:rsidRDefault="00D20E38" w:rsidP="00D20E38">
      <w:r w:rsidRPr="00E95DCF">
        <w:rPr>
          <w:b/>
        </w:rPr>
        <w:t xml:space="preserve">Proposal </w:t>
      </w:r>
      <w:r>
        <w:rPr>
          <w:b/>
        </w:rPr>
        <w:t>3</w:t>
      </w:r>
      <w:r>
        <w:t xml:space="preserve">: add </w:t>
      </w:r>
      <w:r w:rsidRPr="003B196E">
        <w:rPr>
          <w:i/>
        </w:rPr>
        <w:t>ms5</w:t>
      </w:r>
      <w:r>
        <w:t xml:space="preserve">, </w:t>
      </w:r>
      <w:r w:rsidRPr="003B196E">
        <w:rPr>
          <w:i/>
        </w:rPr>
        <w:t>ms10</w:t>
      </w:r>
      <w:r>
        <w:t xml:space="preserve"> and </w:t>
      </w:r>
      <w:r w:rsidRPr="003B196E">
        <w:rPr>
          <w:i/>
        </w:rPr>
        <w:t>ms20</w:t>
      </w:r>
      <w:r>
        <w:t xml:space="preserve"> to the </w:t>
      </w:r>
      <w:r w:rsidRPr="00D40F99">
        <w:rPr>
          <w:i/>
        </w:rPr>
        <w:t>bucketSizeDuration</w:t>
      </w:r>
      <w:r>
        <w:t xml:space="preserve"> in RRC.</w:t>
      </w:r>
    </w:p>
    <w:p w14:paraId="778DA815" w14:textId="77777777" w:rsidR="00D20E38" w:rsidRDefault="00D20E38" w:rsidP="00D20E38">
      <w:r w:rsidRPr="00C95BB1">
        <w:rPr>
          <w:b/>
        </w:rPr>
        <w:lastRenderedPageBreak/>
        <w:t>Observation 3</w:t>
      </w:r>
      <w:r>
        <w:t>: MDBV cannot be enforced in scenarios where multiple Delay Critical GBR bearers are multiplexed on the same resource.</w:t>
      </w:r>
    </w:p>
    <w:p w14:paraId="21C8EA8B" w14:textId="77777777" w:rsidR="00D20E38" w:rsidRPr="001672B6" w:rsidRDefault="00D20E38" w:rsidP="00D20E38">
      <w:r w:rsidRPr="00D20E38">
        <w:rPr>
          <w:b/>
        </w:rPr>
        <w:t>Proposal 3</w:t>
      </w:r>
      <w:r>
        <w:t>: have an email discussion until the next meeting to select a solution to enforce MDBV in uplink.</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723B8" w14:textId="77777777" w:rsidR="00864338" w:rsidRDefault="00864338">
      <w:r>
        <w:separator/>
      </w:r>
    </w:p>
  </w:endnote>
  <w:endnote w:type="continuationSeparator" w:id="0">
    <w:p w14:paraId="2EBCCD92" w14:textId="77777777" w:rsidR="00864338" w:rsidRDefault="0086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1BD62" w14:textId="77777777" w:rsidR="00864338" w:rsidRDefault="00864338">
      <w:r>
        <w:separator/>
      </w:r>
    </w:p>
  </w:footnote>
  <w:footnote w:type="continuationSeparator" w:id="0">
    <w:p w14:paraId="1418F4F6" w14:textId="77777777" w:rsidR="00864338" w:rsidRDefault="008643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F887D6E"/>
    <w:multiLevelType w:val="hybridMultilevel"/>
    <w:tmpl w:val="4F68C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A3D"/>
    <w:rsid w:val="00026B2E"/>
    <w:rsid w:val="00033397"/>
    <w:rsid w:val="00040095"/>
    <w:rsid w:val="0006179D"/>
    <w:rsid w:val="0007334A"/>
    <w:rsid w:val="00080512"/>
    <w:rsid w:val="00090468"/>
    <w:rsid w:val="000B7BCF"/>
    <w:rsid w:val="000C522B"/>
    <w:rsid w:val="000D58AB"/>
    <w:rsid w:val="00112F1A"/>
    <w:rsid w:val="00145075"/>
    <w:rsid w:val="001672B6"/>
    <w:rsid w:val="001741A0"/>
    <w:rsid w:val="00175FA0"/>
    <w:rsid w:val="00194CD0"/>
    <w:rsid w:val="001A0C42"/>
    <w:rsid w:val="001B49C9"/>
    <w:rsid w:val="001C4F79"/>
    <w:rsid w:val="001F07DB"/>
    <w:rsid w:val="001F168B"/>
    <w:rsid w:val="001F7831"/>
    <w:rsid w:val="00204045"/>
    <w:rsid w:val="0020712B"/>
    <w:rsid w:val="0022606D"/>
    <w:rsid w:val="00231728"/>
    <w:rsid w:val="002747EC"/>
    <w:rsid w:val="002855BF"/>
    <w:rsid w:val="002B7D53"/>
    <w:rsid w:val="002F01AF"/>
    <w:rsid w:val="002F0D22"/>
    <w:rsid w:val="002F5A3A"/>
    <w:rsid w:val="002F7C4A"/>
    <w:rsid w:val="003172DC"/>
    <w:rsid w:val="00325AE3"/>
    <w:rsid w:val="00326069"/>
    <w:rsid w:val="0035462D"/>
    <w:rsid w:val="00364B41"/>
    <w:rsid w:val="003B196E"/>
    <w:rsid w:val="003B40AD"/>
    <w:rsid w:val="003B6743"/>
    <w:rsid w:val="003C4E37"/>
    <w:rsid w:val="003E16BE"/>
    <w:rsid w:val="003E6FF1"/>
    <w:rsid w:val="004006E8"/>
    <w:rsid w:val="00401855"/>
    <w:rsid w:val="00457FC1"/>
    <w:rsid w:val="00477455"/>
    <w:rsid w:val="00481B59"/>
    <w:rsid w:val="004A1F7B"/>
    <w:rsid w:val="004C44D2"/>
    <w:rsid w:val="004D3578"/>
    <w:rsid w:val="004D380D"/>
    <w:rsid w:val="004E213A"/>
    <w:rsid w:val="004E7646"/>
    <w:rsid w:val="00503171"/>
    <w:rsid w:val="00506C28"/>
    <w:rsid w:val="00534DA0"/>
    <w:rsid w:val="005351A7"/>
    <w:rsid w:val="00537202"/>
    <w:rsid w:val="00543E6C"/>
    <w:rsid w:val="005554F1"/>
    <w:rsid w:val="00565087"/>
    <w:rsid w:val="0056573F"/>
    <w:rsid w:val="005C759B"/>
    <w:rsid w:val="00611566"/>
    <w:rsid w:val="00646D99"/>
    <w:rsid w:val="00656910"/>
    <w:rsid w:val="006641CC"/>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02DC5"/>
    <w:rsid w:val="00813245"/>
    <w:rsid w:val="0085613B"/>
    <w:rsid w:val="00864338"/>
    <w:rsid w:val="008768CA"/>
    <w:rsid w:val="00877EF9"/>
    <w:rsid w:val="00880559"/>
    <w:rsid w:val="008B5306"/>
    <w:rsid w:val="008D2E4D"/>
    <w:rsid w:val="008D7C3F"/>
    <w:rsid w:val="0090271F"/>
    <w:rsid w:val="00902DB9"/>
    <w:rsid w:val="0090466A"/>
    <w:rsid w:val="0090644C"/>
    <w:rsid w:val="00915210"/>
    <w:rsid w:val="00936071"/>
    <w:rsid w:val="00940212"/>
    <w:rsid w:val="00942EC2"/>
    <w:rsid w:val="009528ED"/>
    <w:rsid w:val="0095583F"/>
    <w:rsid w:val="00961B32"/>
    <w:rsid w:val="00970DB3"/>
    <w:rsid w:val="00974BB0"/>
    <w:rsid w:val="009A0AF3"/>
    <w:rsid w:val="009B07CD"/>
    <w:rsid w:val="009C19E9"/>
    <w:rsid w:val="009D74A6"/>
    <w:rsid w:val="00A07C6F"/>
    <w:rsid w:val="00A10F02"/>
    <w:rsid w:val="00A204CA"/>
    <w:rsid w:val="00A3674D"/>
    <w:rsid w:val="00A53724"/>
    <w:rsid w:val="00A82346"/>
    <w:rsid w:val="00A82A58"/>
    <w:rsid w:val="00A9671C"/>
    <w:rsid w:val="00AA1553"/>
    <w:rsid w:val="00AB302F"/>
    <w:rsid w:val="00AB4734"/>
    <w:rsid w:val="00AC275F"/>
    <w:rsid w:val="00B05962"/>
    <w:rsid w:val="00B15449"/>
    <w:rsid w:val="00B27303"/>
    <w:rsid w:val="00B448FD"/>
    <w:rsid w:val="00B47FD1"/>
    <w:rsid w:val="00B50BB4"/>
    <w:rsid w:val="00B516BB"/>
    <w:rsid w:val="00BC3555"/>
    <w:rsid w:val="00BF72D7"/>
    <w:rsid w:val="00C12B51"/>
    <w:rsid w:val="00C24650"/>
    <w:rsid w:val="00C33079"/>
    <w:rsid w:val="00C83A13"/>
    <w:rsid w:val="00C9068C"/>
    <w:rsid w:val="00C92967"/>
    <w:rsid w:val="00C95BB1"/>
    <w:rsid w:val="00CA3D0C"/>
    <w:rsid w:val="00CA654B"/>
    <w:rsid w:val="00CD4C7B"/>
    <w:rsid w:val="00CE53B1"/>
    <w:rsid w:val="00D20E38"/>
    <w:rsid w:val="00D33BE3"/>
    <w:rsid w:val="00D3792D"/>
    <w:rsid w:val="00D40F99"/>
    <w:rsid w:val="00D47022"/>
    <w:rsid w:val="00D55E47"/>
    <w:rsid w:val="00D62E19"/>
    <w:rsid w:val="00D738D6"/>
    <w:rsid w:val="00D80795"/>
    <w:rsid w:val="00D854BE"/>
    <w:rsid w:val="00D87E00"/>
    <w:rsid w:val="00D9134D"/>
    <w:rsid w:val="00D96D11"/>
    <w:rsid w:val="00DA12D8"/>
    <w:rsid w:val="00DA7A03"/>
    <w:rsid w:val="00DB0DB8"/>
    <w:rsid w:val="00DB1818"/>
    <w:rsid w:val="00DC309B"/>
    <w:rsid w:val="00DC4DA2"/>
    <w:rsid w:val="00E62835"/>
    <w:rsid w:val="00E77645"/>
    <w:rsid w:val="00E81288"/>
    <w:rsid w:val="00E83697"/>
    <w:rsid w:val="00E87F3B"/>
    <w:rsid w:val="00E95DCF"/>
    <w:rsid w:val="00EC4A25"/>
    <w:rsid w:val="00EE5631"/>
    <w:rsid w:val="00F025A2"/>
    <w:rsid w:val="00F07388"/>
    <w:rsid w:val="00F2026E"/>
    <w:rsid w:val="00F2210A"/>
    <w:rsid w:val="00F26F26"/>
    <w:rsid w:val="00F37743"/>
    <w:rsid w:val="00F54A3D"/>
    <w:rsid w:val="00F54CB0"/>
    <w:rsid w:val="00F653B8"/>
    <w:rsid w:val="00F71B89"/>
    <w:rsid w:val="00F7353C"/>
    <w:rsid w:val="00F76F8F"/>
    <w:rsid w:val="00F87856"/>
    <w:rsid w:val="00FA1266"/>
    <w:rsid w:val="00FB36FA"/>
    <w:rsid w:val="00FC1192"/>
    <w:rsid w:val="00FE251B"/>
    <w:rsid w:val="00FF3D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457FC1"/>
    <w:rPr>
      <w:color w:val="808080"/>
      <w:shd w:val="clear" w:color="auto" w:fill="E6E6E6"/>
    </w:rPr>
  </w:style>
  <w:style w:type="character" w:customStyle="1" w:styleId="apple-converted-space">
    <w:name w:val="apple-converted-space"/>
    <w:basedOn w:val="DefaultParagraphFont"/>
    <w:rsid w:val="006641CC"/>
  </w:style>
  <w:style w:type="paragraph" w:styleId="ListParagraph">
    <w:name w:val="List Paragraph"/>
    <w:basedOn w:val="Normal"/>
    <w:uiPriority w:val="34"/>
    <w:qFormat/>
    <w:rsid w:val="00D47022"/>
    <w:pPr>
      <w:ind w:left="720"/>
      <w:contextualSpacing/>
    </w:pPr>
  </w:style>
  <w:style w:type="character" w:styleId="FollowedHyperlink">
    <w:name w:val="FollowedHyperlink"/>
    <w:basedOn w:val="DefaultParagraphFont"/>
    <w:rsid w:val="00802DC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2708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6368123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0559081">
      <w:bodyDiv w:val="1"/>
      <w:marLeft w:val="0"/>
      <w:marRight w:val="0"/>
      <w:marTop w:val="0"/>
      <w:marBottom w:val="0"/>
      <w:divBdr>
        <w:top w:val="none" w:sz="0" w:space="0" w:color="auto"/>
        <w:left w:val="none" w:sz="0" w:space="0" w:color="auto"/>
        <w:bottom w:val="none" w:sz="0" w:space="0" w:color="auto"/>
        <w:right w:val="none" w:sz="0" w:space="0" w:color="auto"/>
      </w:divBdr>
    </w:div>
    <w:div w:id="131807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350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213</TotalTime>
  <Pages>3</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Sebire, Benoist (Nokia - JP/Tokyo)</cp:lastModifiedBy>
  <cp:revision>44</cp:revision>
  <dcterms:created xsi:type="dcterms:W3CDTF">2016-08-12T03:53:00Z</dcterms:created>
  <dcterms:modified xsi:type="dcterms:W3CDTF">2018-04-05T04:59:00Z</dcterms:modified>
</cp:coreProperties>
</file>